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32" w:rsidRPr="00D35698" w:rsidRDefault="00C87B14" w:rsidP="00743D9E">
      <w:pPr>
        <w:jc w:val="both"/>
        <w:rPr>
          <w:rFonts w:ascii="Arial" w:hAnsi="Arial" w:cs="Arial"/>
          <w:sz w:val="24"/>
          <w:szCs w:val="24"/>
        </w:rPr>
      </w:pPr>
      <w:r>
        <w:rPr>
          <w:rFonts w:ascii="Arial" w:hAnsi="Arial" w:cs="Arial"/>
          <w:noProof/>
          <w:sz w:val="24"/>
          <w:szCs w:val="24"/>
        </w:rPr>
        <w:drawing>
          <wp:inline distT="0" distB="0" distL="0" distR="0">
            <wp:extent cx="5934710" cy="851535"/>
            <wp:effectExtent l="19050" t="0" r="8890" b="0"/>
            <wp:docPr id="3" name="Picture 1" descr="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logo"/>
                    <pic:cNvPicPr>
                      <a:picLocks noChangeAspect="1" noChangeArrowheads="1"/>
                    </pic:cNvPicPr>
                  </pic:nvPicPr>
                  <pic:blipFill>
                    <a:blip r:embed="rId7" cstate="print"/>
                    <a:srcRect/>
                    <a:stretch>
                      <a:fillRect/>
                    </a:stretch>
                  </pic:blipFill>
                  <pic:spPr bwMode="auto">
                    <a:xfrm>
                      <a:off x="0" y="0"/>
                      <a:ext cx="5934710" cy="851535"/>
                    </a:xfrm>
                    <a:prstGeom prst="rect">
                      <a:avLst/>
                    </a:prstGeom>
                    <a:noFill/>
                    <a:ln w="9525">
                      <a:noFill/>
                      <a:miter lim="800000"/>
                      <a:headEnd/>
                      <a:tailEnd/>
                    </a:ln>
                  </pic:spPr>
                </pic:pic>
              </a:graphicData>
            </a:graphic>
          </wp:inline>
        </w:drawing>
      </w:r>
    </w:p>
    <w:p w:rsidR="00C87B14" w:rsidRPr="00D35698" w:rsidRDefault="00CE2640" w:rsidP="00C87B14">
      <w:pPr>
        <w:jc w:val="both"/>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294.35pt;margin-top:136.25pt;width:244.4pt;height:255.45pt;z-index:251660288;mso-position-horizontal-relative:page;mso-position-vertical-relative:page" o:allowincell="f" fillcolor="#e6eed5" stroked="f" strokecolor="#622423" strokeweight="6pt">
            <v:fill r:id="rId8" o:title="Narrow horizontal" type="pattern"/>
            <v:stroke linestyle="thickThin"/>
            <v:textbox style="mso-next-textbox:#_x0000_s1032" inset="18pt,18pt,18pt,18pt">
              <w:txbxContent>
                <w:p w:rsidR="007A421B" w:rsidRPr="0075589D" w:rsidRDefault="007A421B" w:rsidP="0075589D">
                  <w:pPr>
                    <w:jc w:val="both"/>
                    <w:rPr>
                      <w:rFonts w:ascii="Arial" w:hAnsi="Arial" w:cs="Arial"/>
                      <w:color w:val="555555"/>
                      <w:sz w:val="13"/>
                      <w:szCs w:val="13"/>
                    </w:rPr>
                  </w:pPr>
                  <w:r w:rsidRPr="0075589D">
                    <w:rPr>
                      <w:rFonts w:ascii="Arial" w:hAnsi="Arial" w:cs="Arial"/>
                      <w:color w:val="555555"/>
                      <w:sz w:val="13"/>
                      <w:szCs w:val="13"/>
                    </w:rPr>
                    <w:t>David Kupferman was trained at the global CPA firm of KPMG and also has deep industry experience as CFO/Controller;  in the last decade he has specialized in handling very difficult tax controversy cases (tax debts, payroll tax issues, Offers in Compromise, Innocent Spouse appeals, etc...)</w:t>
                  </w:r>
                </w:p>
                <w:p w:rsidR="007A421B" w:rsidRPr="0075589D" w:rsidRDefault="007A421B" w:rsidP="0075589D">
                  <w:pPr>
                    <w:jc w:val="both"/>
                    <w:rPr>
                      <w:rFonts w:ascii="Arial" w:hAnsi="Arial" w:cs="Arial"/>
                      <w:color w:val="555555"/>
                      <w:sz w:val="13"/>
                      <w:szCs w:val="13"/>
                    </w:rPr>
                  </w:pPr>
                </w:p>
                <w:p w:rsidR="007A421B" w:rsidRPr="007A421B" w:rsidRDefault="007A421B" w:rsidP="0075589D">
                  <w:pPr>
                    <w:jc w:val="both"/>
                    <w:rPr>
                      <w:rFonts w:ascii="Arial" w:hAnsi="Arial" w:cs="Arial"/>
                      <w:color w:val="555555"/>
                      <w:sz w:val="13"/>
                      <w:szCs w:val="13"/>
                    </w:rPr>
                  </w:pPr>
                  <w:r w:rsidRPr="0075589D">
                    <w:rPr>
                      <w:rFonts w:ascii="Arial" w:hAnsi="Arial" w:cs="Arial"/>
                      <w:i/>
                      <w:iCs/>
                      <w:color w:val="555555"/>
                      <w:sz w:val="13"/>
                      <w:szCs w:val="13"/>
                    </w:rPr>
                    <w:t>Established in 1994</w:t>
                  </w:r>
                </w:p>
                <w:p w:rsidR="007A421B" w:rsidRPr="0075589D" w:rsidRDefault="007A421B" w:rsidP="0075589D">
                  <w:pPr>
                    <w:jc w:val="both"/>
                    <w:rPr>
                      <w:rFonts w:ascii="Arial" w:hAnsi="Arial" w:cs="Arial"/>
                      <w:color w:val="555555"/>
                      <w:sz w:val="13"/>
                      <w:szCs w:val="13"/>
                    </w:rPr>
                  </w:pPr>
                  <w:r w:rsidRPr="007A421B">
                    <w:rPr>
                      <w:rFonts w:ascii="Arial" w:hAnsi="Arial" w:cs="Arial"/>
                      <w:color w:val="555555"/>
                      <w:sz w:val="13"/>
                      <w:szCs w:val="13"/>
                    </w:rPr>
                    <w:t>After stints as corporate CFO and KPMG Audit CPA and Audit Chair of a large regional nonprofit Kupferman decided to start his own CPA firm.</w:t>
                  </w:r>
                </w:p>
                <w:p w:rsidR="007A421B" w:rsidRPr="0075589D" w:rsidRDefault="007A421B" w:rsidP="0075589D">
                  <w:pPr>
                    <w:jc w:val="both"/>
                    <w:rPr>
                      <w:rFonts w:ascii="Arial" w:hAnsi="Arial" w:cs="Arial"/>
                      <w:color w:val="555555"/>
                      <w:sz w:val="13"/>
                      <w:szCs w:val="13"/>
                    </w:rPr>
                  </w:pPr>
                </w:p>
                <w:p w:rsidR="00511CDF" w:rsidRPr="0075589D" w:rsidRDefault="007A421B" w:rsidP="0075589D">
                  <w:pPr>
                    <w:jc w:val="both"/>
                    <w:rPr>
                      <w:rFonts w:ascii="Arial" w:hAnsi="Arial" w:cs="Arial"/>
                      <w:color w:val="555555"/>
                      <w:sz w:val="13"/>
                      <w:szCs w:val="13"/>
                    </w:rPr>
                  </w:pPr>
                  <w:r w:rsidRPr="0075589D">
                    <w:rPr>
                      <w:rFonts w:ascii="Arial" w:hAnsi="Arial" w:cs="Arial"/>
                      <w:color w:val="555555"/>
                      <w:sz w:val="13"/>
                      <w:szCs w:val="13"/>
                    </w:rPr>
                    <w:t>The firm has always focused on small and growing business owners and moderate-high net worth individuals.  Some  Kupferman clients have gone public or had large wealth making 'liquidity events'.</w:t>
                  </w:r>
                  <w:r w:rsidRPr="0075589D">
                    <w:rPr>
                      <w:rFonts w:ascii="Arial" w:hAnsi="Arial" w:cs="Arial"/>
                      <w:color w:val="555555"/>
                      <w:sz w:val="13"/>
                      <w:szCs w:val="13"/>
                    </w:rPr>
                    <w:br/>
                  </w:r>
                  <w:r w:rsidRPr="0075589D">
                    <w:rPr>
                      <w:rFonts w:ascii="Arial" w:hAnsi="Arial" w:cs="Arial"/>
                      <w:color w:val="555555"/>
                      <w:sz w:val="13"/>
                      <w:szCs w:val="13"/>
                    </w:rPr>
                    <w:br/>
                    <w:t xml:space="preserve">A decade ago Kupferman co-founded Intuit's Quickbooks Pro-Advisors Council and has continued advising Intuit in both formal &amp; informal capacities. </w:t>
                  </w:r>
                  <w:r w:rsidR="00511CDF" w:rsidRPr="0075589D">
                    <w:rPr>
                      <w:rFonts w:ascii="Arial" w:hAnsi="Arial" w:cs="Arial"/>
                      <w:color w:val="555555"/>
                      <w:sz w:val="13"/>
                      <w:szCs w:val="13"/>
                    </w:rPr>
                    <w:t>He is currently advising on designing the virtual CPA office of the future.</w:t>
                  </w:r>
                </w:p>
                <w:p w:rsidR="00C87B14" w:rsidRPr="0075589D" w:rsidRDefault="007A421B" w:rsidP="0075589D">
                  <w:pPr>
                    <w:jc w:val="both"/>
                    <w:rPr>
                      <w:rFonts w:ascii="Arial" w:hAnsi="Arial" w:cs="Arial"/>
                      <w:color w:val="555555"/>
                      <w:sz w:val="13"/>
                      <w:szCs w:val="13"/>
                    </w:rPr>
                  </w:pPr>
                  <w:r w:rsidRPr="0075589D">
                    <w:rPr>
                      <w:rFonts w:ascii="Arial" w:hAnsi="Arial" w:cs="Arial"/>
                      <w:color w:val="555555"/>
                      <w:sz w:val="13"/>
                      <w:szCs w:val="13"/>
                    </w:rPr>
                    <w:t> </w:t>
                  </w:r>
                  <w:r w:rsidRPr="0075589D">
                    <w:rPr>
                      <w:rFonts w:ascii="Arial" w:hAnsi="Arial" w:cs="Arial"/>
                      <w:color w:val="555555"/>
                      <w:sz w:val="13"/>
                      <w:szCs w:val="13"/>
                    </w:rPr>
                    <w:br/>
                    <w:t>Kupferman is a member of the California Society of Certified Public Accountants, the American Institute of Certified Public Accountants, and also is a Forensic CPA (as member of the American College of Forensic Accounting).</w:t>
                  </w:r>
                  <w:r w:rsidRPr="0075589D">
                    <w:rPr>
                      <w:rFonts w:ascii="Arial" w:hAnsi="Arial" w:cs="Arial"/>
                      <w:color w:val="555555"/>
                      <w:sz w:val="13"/>
                      <w:szCs w:val="13"/>
                    </w:rPr>
                    <w:br/>
                  </w:r>
                  <w:r w:rsidRPr="0075589D">
                    <w:rPr>
                      <w:rFonts w:ascii="Arial" w:hAnsi="Arial" w:cs="Arial"/>
                      <w:color w:val="555555"/>
                      <w:sz w:val="13"/>
                      <w:szCs w:val="13"/>
                    </w:rPr>
                    <w:br/>
                    <w:t>Kupferman speaks 7 languages and keeps athletically fit.</w:t>
                  </w:r>
                </w:p>
                <w:p w:rsidR="007A421B" w:rsidRDefault="007A421B" w:rsidP="0075589D">
                  <w:pPr>
                    <w:jc w:val="both"/>
                    <w:rPr>
                      <w:rFonts w:ascii="Arial" w:hAnsi="Arial" w:cs="Arial"/>
                      <w:color w:val="555555"/>
                      <w:sz w:val="13"/>
                      <w:szCs w:val="13"/>
                    </w:rPr>
                  </w:pPr>
                  <w:r w:rsidRPr="0075589D">
                    <w:rPr>
                      <w:rFonts w:ascii="Arial" w:hAnsi="Arial" w:cs="Arial"/>
                      <w:color w:val="555555"/>
                      <w:sz w:val="13"/>
                      <w:szCs w:val="13"/>
                    </w:rPr>
                    <w:t>Kupferman's staff have been with the firm a long time and have a combined experience in the CPA field exceeding 60 years.</w:t>
                  </w:r>
                </w:p>
                <w:p w:rsidR="0075589D" w:rsidRDefault="0075589D" w:rsidP="0075589D">
                  <w:pPr>
                    <w:jc w:val="both"/>
                    <w:rPr>
                      <w:rFonts w:ascii="Arial" w:hAnsi="Arial" w:cs="Arial"/>
                      <w:color w:val="555555"/>
                      <w:sz w:val="13"/>
                      <w:szCs w:val="13"/>
                    </w:rPr>
                  </w:pPr>
                </w:p>
                <w:p w:rsidR="0075589D" w:rsidRDefault="0075589D" w:rsidP="0075589D">
                  <w:pPr>
                    <w:jc w:val="both"/>
                    <w:rPr>
                      <w:rFonts w:ascii="Arial" w:hAnsi="Arial" w:cs="Arial"/>
                      <w:color w:val="555555"/>
                      <w:sz w:val="13"/>
                      <w:szCs w:val="13"/>
                    </w:rPr>
                  </w:pPr>
                  <w:r>
                    <w:rPr>
                      <w:rFonts w:ascii="Arial" w:hAnsi="Arial" w:cs="Arial"/>
                      <w:color w:val="555555"/>
                      <w:sz w:val="13"/>
                      <w:szCs w:val="13"/>
                    </w:rPr>
                    <w:t xml:space="preserve">He is a top rate CPA at </w:t>
                  </w:r>
                  <w:hyperlink r:id="rId9" w:history="1">
                    <w:r w:rsidRPr="00223826">
                      <w:rPr>
                        <w:rStyle w:val="Hyperlink"/>
                        <w:rFonts w:ascii="Arial" w:hAnsi="Arial" w:cs="Arial"/>
                        <w:sz w:val="13"/>
                        <w:szCs w:val="13"/>
                      </w:rPr>
                      <w:t>www.yelp.com</w:t>
                    </w:r>
                  </w:hyperlink>
                </w:p>
                <w:p w:rsidR="0075589D" w:rsidRDefault="0075589D" w:rsidP="0075589D">
                  <w:pPr>
                    <w:jc w:val="both"/>
                    <w:rPr>
                      <w:rFonts w:ascii="Arial" w:hAnsi="Arial" w:cs="Arial"/>
                      <w:color w:val="555555"/>
                      <w:sz w:val="13"/>
                      <w:szCs w:val="13"/>
                    </w:rPr>
                  </w:pPr>
                </w:p>
                <w:p w:rsidR="0075589D" w:rsidRPr="0075589D" w:rsidRDefault="0075589D" w:rsidP="0075589D">
                  <w:pPr>
                    <w:jc w:val="both"/>
                    <w:rPr>
                      <w:sz w:val="13"/>
                      <w:szCs w:val="13"/>
                    </w:rPr>
                  </w:pPr>
                </w:p>
              </w:txbxContent>
            </v:textbox>
            <w10:wrap type="square" anchorx="page" anchory="page"/>
          </v:shape>
        </w:pict>
      </w:r>
    </w:p>
    <w:p w:rsidR="00C87B14" w:rsidRDefault="00C87B14" w:rsidP="00C87B14">
      <w:pPr>
        <w:pStyle w:val="NoSpacing"/>
      </w:pPr>
      <w:r>
        <w:rPr>
          <w:noProof/>
        </w:rPr>
        <w:drawing>
          <wp:inline distT="0" distB="0" distL="0" distR="0">
            <wp:extent cx="2501265" cy="3200400"/>
            <wp:effectExtent l="19050" t="0" r="0" b="0"/>
            <wp:docPr id="2" name="Picture 1" descr="C:\Documents and Settings\david\Desktop\TRANSFER FOLDER\Fotos\David and Wang customer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Desktop\TRANSFER FOLDER\Fotos\David and Wang customers_Page_1.jpg"/>
                    <pic:cNvPicPr>
                      <a:picLocks noChangeAspect="1" noChangeArrowheads="1"/>
                    </pic:cNvPicPr>
                  </pic:nvPicPr>
                  <pic:blipFill>
                    <a:blip r:embed="rId10" cstate="print"/>
                    <a:srcRect/>
                    <a:stretch>
                      <a:fillRect/>
                    </a:stretch>
                  </pic:blipFill>
                  <pic:spPr bwMode="auto">
                    <a:xfrm>
                      <a:off x="0" y="0"/>
                      <a:ext cx="2501265" cy="3200400"/>
                    </a:xfrm>
                    <a:prstGeom prst="rect">
                      <a:avLst/>
                    </a:prstGeom>
                    <a:noFill/>
                    <a:ln w="9525">
                      <a:noFill/>
                      <a:miter lim="800000"/>
                      <a:headEnd/>
                      <a:tailEnd/>
                    </a:ln>
                  </pic:spPr>
                </pic:pic>
              </a:graphicData>
            </a:graphic>
          </wp:inline>
        </w:drawing>
      </w:r>
    </w:p>
    <w:p w:rsidR="00C87B14" w:rsidRDefault="00C87B14" w:rsidP="00C87B14">
      <w:pPr>
        <w:pStyle w:val="NoSpacing"/>
      </w:pPr>
    </w:p>
    <w:p w:rsidR="00C87B14" w:rsidRPr="00CF38E0" w:rsidRDefault="00C87B14" w:rsidP="00C87B14">
      <w:pPr>
        <w:pStyle w:val="NoSpacing"/>
        <w:rPr>
          <w:b/>
          <w:sz w:val="28"/>
          <w:szCs w:val="28"/>
          <w:u w:val="single"/>
        </w:rPr>
      </w:pPr>
      <w:r w:rsidRPr="00CF38E0">
        <w:rPr>
          <w:b/>
          <w:sz w:val="28"/>
          <w:szCs w:val="28"/>
          <w:u w:val="single"/>
        </w:rPr>
        <w:t>SOME THOUGHTS ABOUT SELLER CARRYBACK LOANS:</w:t>
      </w:r>
    </w:p>
    <w:p w:rsidR="00C87B14" w:rsidRDefault="00C87B14" w:rsidP="00C87B14">
      <w:pPr>
        <w:pStyle w:val="NoSpacing"/>
      </w:pPr>
      <w:r>
        <w:t>Seller carryback loans can result in future year taxable installment payments.  Seller carryback loans can really help the Sale and the Seller. While you don’t need to know all the ins and outs you should be aware of the key factors for referral to a tax professional to map it out.  Most CPA’s should be able to</w:t>
      </w:r>
      <w:r w:rsidR="007A421B">
        <w:t xml:space="preserve"> do</w:t>
      </w:r>
      <w:r>
        <w:t xml:space="preserve"> this in ½ to 2 hours, depending…</w:t>
      </w:r>
    </w:p>
    <w:p w:rsidR="00C87B14" w:rsidRDefault="00C87B14" w:rsidP="00C87B14">
      <w:pPr>
        <w:pStyle w:val="NoSpacing"/>
      </w:pPr>
    </w:p>
    <w:p w:rsidR="00C87B14" w:rsidRDefault="00C87B14" w:rsidP="00C87B14">
      <w:pPr>
        <w:pStyle w:val="NoSpacing"/>
      </w:pPr>
      <w:r w:rsidRPr="00D17ED6">
        <w:t xml:space="preserve">If the seller has no profit </w:t>
      </w:r>
      <w:r>
        <w:t xml:space="preserve">on the sale it’s simpler – they just pay taxes on the interest income portion of the installment payments in future years.  </w:t>
      </w:r>
    </w:p>
    <w:p w:rsidR="00C87B14" w:rsidRDefault="00C87B14" w:rsidP="00C87B14">
      <w:pPr>
        <w:pStyle w:val="NoSpacing"/>
      </w:pPr>
    </w:p>
    <w:p w:rsidR="00C87B14" w:rsidRDefault="00C87B14" w:rsidP="00C87B14">
      <w:pPr>
        <w:pStyle w:val="NoSpacing"/>
      </w:pPr>
      <w:r w:rsidRPr="00D17ED6">
        <w:t xml:space="preserve">If seller has profit </w:t>
      </w:r>
      <w:r>
        <w:t>then a carryback can help them in many ways as long as one’s careful about it.   From your standpoint (as non-tax advisor….) you should ask at least these questions below:</w:t>
      </w:r>
    </w:p>
    <w:p w:rsidR="00C87B14" w:rsidRDefault="00C87B14" w:rsidP="00C87B14">
      <w:pPr>
        <w:pStyle w:val="NoSpacing"/>
      </w:pPr>
    </w:p>
    <w:p w:rsidR="00C87B14" w:rsidRPr="004F7E6E" w:rsidRDefault="00C87B14" w:rsidP="00C87B14">
      <w:pPr>
        <w:pStyle w:val="NoSpacing"/>
        <w:rPr>
          <w:b/>
          <w:u w:val="single"/>
        </w:rPr>
      </w:pPr>
      <w:r w:rsidRPr="004F7E6E">
        <w:rPr>
          <w:b/>
          <w:u w:val="single"/>
        </w:rPr>
        <w:t>The basics:</w:t>
      </w:r>
    </w:p>
    <w:p w:rsidR="00C87B14" w:rsidRDefault="00C87B14" w:rsidP="00C87B14">
      <w:pPr>
        <w:pStyle w:val="NoSpacing"/>
        <w:numPr>
          <w:ilvl w:val="0"/>
          <w:numId w:val="6"/>
        </w:numPr>
      </w:pPr>
      <w:r w:rsidRPr="005D17E6">
        <w:rPr>
          <w:u w:val="single"/>
        </w:rPr>
        <w:t>Does seller need all the money now?</w:t>
      </w:r>
      <w:r>
        <w:t xml:space="preserve"> </w:t>
      </w:r>
      <w:r w:rsidRPr="004153E4">
        <w:rPr>
          <w:i/>
        </w:rPr>
        <w:t xml:space="preserve">(they might have </w:t>
      </w:r>
      <w:r>
        <w:rPr>
          <w:i/>
        </w:rPr>
        <w:t>nice</w:t>
      </w:r>
      <w:r w:rsidRPr="004153E4">
        <w:rPr>
          <w:i/>
        </w:rPr>
        <w:t xml:space="preserve"> pension income, they may like the idea of getting</w:t>
      </w:r>
      <w:r>
        <w:rPr>
          <w:i/>
        </w:rPr>
        <w:t xml:space="preserve"> an</w:t>
      </w:r>
      <w:r w:rsidRPr="004153E4">
        <w:rPr>
          <w:i/>
        </w:rPr>
        <w:t xml:space="preserve"> interest rate well over measly bank rates, etc…)</w:t>
      </w:r>
    </w:p>
    <w:p w:rsidR="00C87B14" w:rsidRDefault="00C87B14" w:rsidP="00C87B14">
      <w:pPr>
        <w:pStyle w:val="NoSpacing"/>
        <w:numPr>
          <w:ilvl w:val="0"/>
          <w:numId w:val="6"/>
        </w:numPr>
      </w:pPr>
      <w:r w:rsidRPr="005D17E6">
        <w:rPr>
          <w:u w:val="single"/>
        </w:rPr>
        <w:t>Does the seller foresee any big income changes?</w:t>
      </w:r>
      <w:r>
        <w:t xml:space="preserve">  </w:t>
      </w:r>
      <w:r w:rsidRPr="004153E4">
        <w:rPr>
          <w:i/>
        </w:rPr>
        <w:t>(such as pending retirement</w:t>
      </w:r>
      <w:r>
        <w:rPr>
          <w:i/>
        </w:rPr>
        <w:t xml:space="preserve"> when their tax rate might be lower….</w:t>
      </w:r>
      <w:r w:rsidRPr="004153E4">
        <w:rPr>
          <w:i/>
        </w:rPr>
        <w:t>)</w:t>
      </w:r>
    </w:p>
    <w:p w:rsidR="00C87B14" w:rsidRDefault="00C87B14" w:rsidP="00C87B14">
      <w:pPr>
        <w:pStyle w:val="NoSpacing"/>
        <w:numPr>
          <w:ilvl w:val="0"/>
          <w:numId w:val="6"/>
        </w:numPr>
      </w:pPr>
      <w:r w:rsidRPr="005D17E6">
        <w:rPr>
          <w:u w:val="single"/>
        </w:rPr>
        <w:t xml:space="preserve">How’s the buyer’s credit? </w:t>
      </w:r>
      <w:r>
        <w:t xml:space="preserve"> (s</w:t>
      </w:r>
      <w:r w:rsidRPr="00B67CE8">
        <w:rPr>
          <w:i/>
        </w:rPr>
        <w:t>eller should consider having payments go to a professional loan processor who’ll keep a short leash to protect seller’s interests</w:t>
      </w:r>
      <w:r>
        <w:rPr>
          <w:i/>
        </w:rPr>
        <w:t>.</w:t>
      </w:r>
      <w:r>
        <w:t>)</w:t>
      </w:r>
    </w:p>
    <w:p w:rsidR="00C87B14" w:rsidRPr="005D17E6" w:rsidRDefault="00C87B14" w:rsidP="00C87B14">
      <w:pPr>
        <w:pStyle w:val="NoSpacing"/>
        <w:numPr>
          <w:ilvl w:val="0"/>
          <w:numId w:val="6"/>
        </w:numPr>
        <w:rPr>
          <w:u w:val="single"/>
        </w:rPr>
      </w:pPr>
      <w:r w:rsidRPr="005D17E6">
        <w:rPr>
          <w:u w:val="single"/>
        </w:rPr>
        <w:t xml:space="preserve">Does seller have profit on the sale?  </w:t>
      </w:r>
    </w:p>
    <w:p w:rsidR="00C87B14" w:rsidRPr="00EB23FA" w:rsidRDefault="00C87B14" w:rsidP="00C87B14">
      <w:pPr>
        <w:pStyle w:val="NoSpacing"/>
        <w:numPr>
          <w:ilvl w:val="1"/>
          <w:numId w:val="6"/>
        </w:numPr>
      </w:pPr>
      <w:r w:rsidRPr="00EB23FA">
        <w:rPr>
          <w:i/>
        </w:rPr>
        <w:t>If not then when seller receives installment payments each year he’d only have to declare the interest income as taxable.)</w:t>
      </w:r>
    </w:p>
    <w:p w:rsidR="00C87B14" w:rsidRPr="00A90BAC" w:rsidRDefault="00C87B14" w:rsidP="00C87B14">
      <w:pPr>
        <w:pStyle w:val="NoSpacing"/>
        <w:numPr>
          <w:ilvl w:val="1"/>
          <w:numId w:val="6"/>
        </w:numPr>
      </w:pPr>
      <w:r>
        <w:rPr>
          <w:i/>
        </w:rPr>
        <w:t>If seller has profit on the sale then (besides interest income) he’d have capital gains income for each year there’s installment payments.  Again, the tax is on the gain (NOT the total payment).</w:t>
      </w:r>
    </w:p>
    <w:p w:rsidR="00A90BAC" w:rsidRDefault="00A90BAC" w:rsidP="00A90BAC">
      <w:pPr>
        <w:pStyle w:val="NoSpacing"/>
        <w:ind w:left="6480" w:firstLine="720"/>
      </w:pPr>
      <w:r>
        <w:rPr>
          <w:i/>
        </w:rPr>
        <w:t>--See page 2--</w:t>
      </w:r>
    </w:p>
    <w:p w:rsidR="00C87B14" w:rsidRPr="004F7E6E" w:rsidRDefault="00C87B14" w:rsidP="00C87B14">
      <w:pPr>
        <w:pStyle w:val="NoSpacing"/>
        <w:rPr>
          <w:b/>
          <w:u w:val="single"/>
        </w:rPr>
      </w:pPr>
      <w:r w:rsidRPr="004F7E6E">
        <w:rPr>
          <w:b/>
          <w:u w:val="single"/>
        </w:rPr>
        <w:lastRenderedPageBreak/>
        <w:t>Different ways to skin this cat:</w:t>
      </w:r>
    </w:p>
    <w:p w:rsidR="00C87B14" w:rsidRPr="00242601" w:rsidRDefault="00C87B14" w:rsidP="00C87B14">
      <w:pPr>
        <w:pStyle w:val="NoSpacing"/>
        <w:numPr>
          <w:ilvl w:val="0"/>
          <w:numId w:val="7"/>
        </w:numPr>
      </w:pPr>
      <w:r>
        <w:rPr>
          <w:u w:val="single"/>
        </w:rPr>
        <w:t>Defer Gain</w:t>
      </w:r>
      <w:r w:rsidRPr="0004411C">
        <w:rPr>
          <w:u w:val="single"/>
        </w:rPr>
        <w:t>s?</w:t>
      </w:r>
      <w:r>
        <w:t xml:space="preserve">- If the seller has high income now then a carryback can push gains out to later years of lower income </w:t>
      </w:r>
      <w:r w:rsidRPr="00342998">
        <w:rPr>
          <w:i/>
        </w:rPr>
        <w:t>(</w:t>
      </w:r>
      <w:r>
        <w:rPr>
          <w:i/>
        </w:rPr>
        <w:t xml:space="preserve">when presumably </w:t>
      </w:r>
      <w:r w:rsidRPr="00342998">
        <w:rPr>
          <w:i/>
        </w:rPr>
        <w:t>installment payments would be taxed less).</w:t>
      </w:r>
    </w:p>
    <w:p w:rsidR="00C87B14" w:rsidRDefault="00C87B14" w:rsidP="00C87B14">
      <w:pPr>
        <w:pStyle w:val="NoSpacing"/>
        <w:numPr>
          <w:ilvl w:val="0"/>
          <w:numId w:val="7"/>
        </w:numPr>
      </w:pPr>
      <w:r w:rsidRPr="004F7E6E">
        <w:rPr>
          <w:u w:val="single"/>
        </w:rPr>
        <w:t>Speed Up</w:t>
      </w:r>
      <w:r>
        <w:rPr>
          <w:u w:val="single"/>
        </w:rPr>
        <w:t xml:space="preserve"> </w:t>
      </w:r>
      <w:r w:rsidRPr="004F7E6E">
        <w:rPr>
          <w:u w:val="single"/>
        </w:rPr>
        <w:t>Gains</w:t>
      </w:r>
      <w:r>
        <w:rPr>
          <w:u w:val="single"/>
        </w:rPr>
        <w:t>?</w:t>
      </w:r>
      <w:r w:rsidRPr="00242601">
        <w:t xml:space="preserve"> </w:t>
      </w:r>
      <w:r>
        <w:t>– However a</w:t>
      </w:r>
      <w:r w:rsidRPr="00242601">
        <w:t>s detailed below sometimes it’s better for the s</w:t>
      </w:r>
      <w:r>
        <w:t>eller to still do the carryback BUT</w:t>
      </w:r>
      <w:r w:rsidRPr="00242601">
        <w:t xml:space="preserve"> to elect to be taxed </w:t>
      </w:r>
      <w:r>
        <w:t>NOW i</w:t>
      </w:r>
      <w:r w:rsidRPr="00242601">
        <w:t>n the year of sale.</w:t>
      </w:r>
      <w:r>
        <w:t xml:space="preserve">  </w:t>
      </w:r>
    </w:p>
    <w:p w:rsidR="00C87B14" w:rsidRDefault="00C87B14" w:rsidP="00C87B14">
      <w:pPr>
        <w:pStyle w:val="NoSpacing"/>
        <w:numPr>
          <w:ilvl w:val="0"/>
          <w:numId w:val="7"/>
        </w:numPr>
      </w:pPr>
      <w:r w:rsidRPr="004F7E6E">
        <w:rPr>
          <w:u w:val="single"/>
        </w:rPr>
        <w:t>Not Always a Gain</w:t>
      </w:r>
      <w:r>
        <w:rPr>
          <w:u w:val="single"/>
        </w:rPr>
        <w:t>?</w:t>
      </w:r>
      <w:r>
        <w:t xml:space="preserve"> -Therefore, doing a carryback doesn’t always mean that they must show the installment sale on their future tax returns, there are ways and reasons for going around that.</w:t>
      </w:r>
    </w:p>
    <w:p w:rsidR="00C87B14" w:rsidRPr="00242601" w:rsidRDefault="00C87B14" w:rsidP="00C87B14">
      <w:pPr>
        <w:pStyle w:val="NoSpacing"/>
        <w:numPr>
          <w:ilvl w:val="0"/>
          <w:numId w:val="7"/>
        </w:numPr>
      </w:pPr>
      <w:r w:rsidRPr="004F7E6E">
        <w:rPr>
          <w:u w:val="single"/>
        </w:rPr>
        <w:t>Tax Simplification</w:t>
      </w:r>
      <w:r>
        <w:rPr>
          <w:u w:val="single"/>
        </w:rPr>
        <w:t>?</w:t>
      </w:r>
      <w:r>
        <w:t xml:space="preserve"> - In fact, if they elect to opt out of installment sale treatment then their tax returns will be simpler to do</w:t>
      </w:r>
      <w:r>
        <w:rPr>
          <w:i/>
        </w:rPr>
        <w:t>.</w:t>
      </w:r>
    </w:p>
    <w:p w:rsidR="00C87B14" w:rsidRDefault="00C87B14" w:rsidP="00C87B14">
      <w:pPr>
        <w:pStyle w:val="NoSpacing"/>
        <w:numPr>
          <w:ilvl w:val="0"/>
          <w:numId w:val="7"/>
        </w:numPr>
      </w:pPr>
      <w:r w:rsidRPr="004F7E6E">
        <w:rPr>
          <w:u w:val="single"/>
        </w:rPr>
        <w:t>Gains Timing</w:t>
      </w:r>
      <w:r>
        <w:rPr>
          <w:u w:val="single"/>
        </w:rPr>
        <w:t>?</w:t>
      </w:r>
      <w:r w:rsidRPr="004F7E6E">
        <w:rPr>
          <w:u w:val="single"/>
        </w:rPr>
        <w:t xml:space="preserve"> </w:t>
      </w:r>
      <w:r>
        <w:t xml:space="preserve">- If seller knows certain key factors then they can manage the timing of when to put show gains. </w:t>
      </w:r>
      <w:r w:rsidRPr="00242601">
        <w:rPr>
          <w:i/>
        </w:rPr>
        <w:t xml:space="preserve">(for example, if seller knows that in year 2015 his income will drop or that’s when he’ll have a </w:t>
      </w:r>
      <w:r>
        <w:rPr>
          <w:i/>
        </w:rPr>
        <w:t>big loss then one could schedule a balloon payment in 2015</w:t>
      </w:r>
      <w:r w:rsidRPr="00242601">
        <w:rPr>
          <w:i/>
        </w:rPr>
        <w:t>).</w:t>
      </w:r>
      <w:r>
        <w:t xml:space="preserve">  </w:t>
      </w:r>
    </w:p>
    <w:p w:rsidR="00C87B14" w:rsidRPr="00242601" w:rsidRDefault="00C87B14" w:rsidP="00C87B14">
      <w:pPr>
        <w:pStyle w:val="NoSpacing"/>
        <w:numPr>
          <w:ilvl w:val="0"/>
          <w:numId w:val="7"/>
        </w:numPr>
        <w:rPr>
          <w:i/>
        </w:rPr>
      </w:pPr>
      <w:r w:rsidRPr="004F7E6E">
        <w:rPr>
          <w:u w:val="single"/>
        </w:rPr>
        <w:t>Impact on other taxes</w:t>
      </w:r>
      <w:r>
        <w:rPr>
          <w:u w:val="single"/>
        </w:rPr>
        <w:t>?</w:t>
      </w:r>
      <w:r w:rsidRPr="004F7E6E">
        <w:rPr>
          <w:u w:val="single"/>
        </w:rPr>
        <w:t xml:space="preserve"> </w:t>
      </w:r>
      <w:r>
        <w:t>– Be aware however that multi-year installment payments can inadvertently increase taxes for many years</w:t>
      </w:r>
      <w:r w:rsidRPr="00242601">
        <w:rPr>
          <w:i/>
        </w:rPr>
        <w:t xml:space="preserve">.  (For example, gains sometimes increase </w:t>
      </w:r>
      <w:r>
        <w:rPr>
          <w:i/>
        </w:rPr>
        <w:t xml:space="preserve">taxability of </w:t>
      </w:r>
      <w:r w:rsidRPr="00242601">
        <w:rPr>
          <w:i/>
        </w:rPr>
        <w:t xml:space="preserve">social security income </w:t>
      </w:r>
      <w:r>
        <w:rPr>
          <w:i/>
        </w:rPr>
        <w:t xml:space="preserve">in turn decreasing deductions, increasing their </w:t>
      </w:r>
      <w:r w:rsidRPr="00242601">
        <w:rPr>
          <w:i/>
        </w:rPr>
        <w:t>taxes).</w:t>
      </w:r>
    </w:p>
    <w:p w:rsidR="00C87B14" w:rsidRDefault="00C87B14" w:rsidP="00C87B14">
      <w:pPr>
        <w:pStyle w:val="NoSpacing"/>
        <w:numPr>
          <w:ilvl w:val="0"/>
          <w:numId w:val="7"/>
        </w:numPr>
      </w:pPr>
      <w:r>
        <w:rPr>
          <w:u w:val="single"/>
        </w:rPr>
        <w:t xml:space="preserve">Any </w:t>
      </w:r>
      <w:r w:rsidRPr="00863AD1">
        <w:rPr>
          <w:u w:val="single"/>
        </w:rPr>
        <w:t>Wiggle Room</w:t>
      </w:r>
      <w:r>
        <w:rPr>
          <w:u w:val="single"/>
        </w:rPr>
        <w:t>?</w:t>
      </w:r>
      <w:r>
        <w:t xml:space="preserve"> - Ways around the above tax issues include: </w:t>
      </w:r>
    </w:p>
    <w:p w:rsidR="00C87B14" w:rsidRDefault="00C87B14" w:rsidP="00C87B14">
      <w:pPr>
        <w:pStyle w:val="NoSpacing"/>
        <w:numPr>
          <w:ilvl w:val="1"/>
          <w:numId w:val="7"/>
        </w:numPr>
      </w:pPr>
      <w:r>
        <w:t xml:space="preserve">1) have seller consult a tax CPA to review multi-year tax scenarios </w:t>
      </w:r>
      <w:r w:rsidRPr="002B231E">
        <w:rPr>
          <w:i/>
        </w:rPr>
        <w:t>(</w:t>
      </w:r>
      <w:r>
        <w:rPr>
          <w:i/>
        </w:rPr>
        <w:t>to learn th</w:t>
      </w:r>
      <w:r w:rsidRPr="002B231E">
        <w:rPr>
          <w:i/>
        </w:rPr>
        <w:t>e best timing and frequency of installment payments</w:t>
      </w:r>
      <w:r>
        <w:rPr>
          <w:i/>
        </w:rPr>
        <w:t xml:space="preserve"> to be written into leaseback loan</w:t>
      </w:r>
      <w:r w:rsidRPr="002B231E">
        <w:rPr>
          <w:i/>
        </w:rPr>
        <w:t>).</w:t>
      </w:r>
    </w:p>
    <w:p w:rsidR="00C87B14" w:rsidRDefault="00C87B14" w:rsidP="00C87B14">
      <w:pPr>
        <w:pStyle w:val="NoSpacing"/>
        <w:numPr>
          <w:ilvl w:val="1"/>
          <w:numId w:val="7"/>
        </w:numPr>
        <w:rPr>
          <w:i/>
        </w:rPr>
      </w:pPr>
      <w:r>
        <w:t xml:space="preserve">2) seller can “elect” to have all of his gain income taxed in the year of the sale </w:t>
      </w:r>
      <w:r w:rsidRPr="00C4396E">
        <w:rPr>
          <w:i/>
        </w:rPr>
        <w:t>(</w:t>
      </w:r>
      <w:r>
        <w:rPr>
          <w:i/>
        </w:rPr>
        <w:t>so</w:t>
      </w:r>
      <w:r w:rsidRPr="00C4396E">
        <w:rPr>
          <w:i/>
        </w:rPr>
        <w:t xml:space="preserve"> seller get</w:t>
      </w:r>
      <w:r>
        <w:rPr>
          <w:i/>
        </w:rPr>
        <w:t>s</w:t>
      </w:r>
      <w:r w:rsidRPr="00C4396E">
        <w:rPr>
          <w:i/>
        </w:rPr>
        <w:t xml:space="preserve"> paid over several years </w:t>
      </w:r>
      <w:r>
        <w:rPr>
          <w:i/>
        </w:rPr>
        <w:t>BUT</w:t>
      </w:r>
      <w:r w:rsidRPr="00C4396E">
        <w:rPr>
          <w:i/>
        </w:rPr>
        <w:t xml:space="preserve"> only report</w:t>
      </w:r>
      <w:r>
        <w:rPr>
          <w:i/>
        </w:rPr>
        <w:t>s</w:t>
      </w:r>
      <w:r w:rsidRPr="00C4396E">
        <w:rPr>
          <w:i/>
        </w:rPr>
        <w:t xml:space="preserve"> interest</w:t>
      </w:r>
      <w:r>
        <w:rPr>
          <w:i/>
        </w:rPr>
        <w:t xml:space="preserve"> income</w:t>
      </w:r>
      <w:r w:rsidRPr="00C4396E">
        <w:rPr>
          <w:i/>
        </w:rPr>
        <w:t xml:space="preserve"> in each of those years).</w:t>
      </w:r>
    </w:p>
    <w:p w:rsidR="00C87B14" w:rsidRPr="006D5085" w:rsidRDefault="00C87B14" w:rsidP="00C87B14">
      <w:pPr>
        <w:pStyle w:val="NoSpacing"/>
        <w:numPr>
          <w:ilvl w:val="0"/>
          <w:numId w:val="7"/>
        </w:numPr>
      </w:pPr>
      <w:r w:rsidRPr="004F7E6E">
        <w:rPr>
          <w:u w:val="single"/>
        </w:rPr>
        <w:t xml:space="preserve">Taxes aren’t everything </w:t>
      </w:r>
      <w:r>
        <w:t xml:space="preserve">- </w:t>
      </w:r>
      <w:r w:rsidRPr="00AD330A">
        <w:t xml:space="preserve">Sometimes of course the carryback loan will have minimal impact on seller’s taxes </w:t>
      </w:r>
      <w:r w:rsidRPr="00AD330A">
        <w:rPr>
          <w:i/>
        </w:rPr>
        <w:t>(but that is not always the case…)</w:t>
      </w:r>
      <w:r>
        <w:rPr>
          <w:i/>
        </w:rPr>
        <w:t xml:space="preserve"> or sometimes there are other driving factors .  So tax impact is something to be aware of but it need not be a roadblock.</w:t>
      </w:r>
    </w:p>
    <w:p w:rsidR="00C87B14" w:rsidRPr="00D35698" w:rsidRDefault="00C87B14" w:rsidP="00C87B14">
      <w:pPr>
        <w:jc w:val="both"/>
        <w:outlineLvl w:val="0"/>
        <w:rPr>
          <w:rFonts w:ascii="Arial" w:hAnsi="Arial" w:cs="Arial"/>
          <w:sz w:val="24"/>
          <w:szCs w:val="24"/>
        </w:rPr>
      </w:pPr>
    </w:p>
    <w:p w:rsidR="00C87B14" w:rsidRPr="00D35698" w:rsidRDefault="00C87B14" w:rsidP="00C87B14">
      <w:pPr>
        <w:jc w:val="both"/>
        <w:outlineLvl w:val="0"/>
        <w:rPr>
          <w:rFonts w:ascii="Arial" w:hAnsi="Arial" w:cs="Arial"/>
          <w:sz w:val="24"/>
          <w:szCs w:val="24"/>
        </w:rPr>
      </w:pPr>
    </w:p>
    <w:p w:rsidR="00C87B14" w:rsidRPr="00D35698" w:rsidRDefault="00C87B14" w:rsidP="00C87B14">
      <w:pPr>
        <w:jc w:val="both"/>
        <w:outlineLvl w:val="0"/>
        <w:rPr>
          <w:rFonts w:ascii="Arial" w:hAnsi="Arial" w:cs="Arial"/>
          <w:sz w:val="24"/>
          <w:szCs w:val="24"/>
        </w:rPr>
      </w:pPr>
    </w:p>
    <w:p w:rsidR="00C87B14" w:rsidRPr="00D35698" w:rsidRDefault="00C87B14" w:rsidP="00C87B14">
      <w:pPr>
        <w:jc w:val="both"/>
        <w:outlineLvl w:val="0"/>
        <w:rPr>
          <w:rFonts w:ascii="Arial" w:hAnsi="Arial" w:cs="Arial"/>
          <w:sz w:val="24"/>
          <w:szCs w:val="24"/>
        </w:rPr>
      </w:pPr>
    </w:p>
    <w:p w:rsidR="00C87B14" w:rsidRDefault="00C87B14" w:rsidP="00C87B14"/>
    <w:p w:rsidR="004B69E3" w:rsidRPr="00D35698" w:rsidRDefault="004B69E3" w:rsidP="00743D9E">
      <w:pPr>
        <w:jc w:val="both"/>
        <w:outlineLvl w:val="0"/>
        <w:rPr>
          <w:rFonts w:ascii="Arial" w:hAnsi="Arial" w:cs="Arial"/>
          <w:sz w:val="24"/>
          <w:szCs w:val="24"/>
        </w:rPr>
      </w:pPr>
    </w:p>
    <w:p w:rsidR="007057F4" w:rsidRPr="00D35698" w:rsidRDefault="007057F4" w:rsidP="00743D9E">
      <w:pPr>
        <w:jc w:val="both"/>
        <w:outlineLvl w:val="0"/>
        <w:rPr>
          <w:rFonts w:ascii="Arial" w:hAnsi="Arial" w:cs="Arial"/>
          <w:sz w:val="24"/>
          <w:szCs w:val="24"/>
        </w:rPr>
      </w:pPr>
    </w:p>
    <w:p w:rsidR="00B27937" w:rsidRPr="00D35698" w:rsidRDefault="00B27937" w:rsidP="00743D9E">
      <w:pPr>
        <w:jc w:val="both"/>
        <w:outlineLvl w:val="0"/>
        <w:rPr>
          <w:rFonts w:ascii="Arial" w:hAnsi="Arial" w:cs="Arial"/>
          <w:sz w:val="24"/>
          <w:szCs w:val="24"/>
        </w:rPr>
      </w:pPr>
    </w:p>
    <w:p w:rsidR="00B27937" w:rsidRPr="00D35698" w:rsidRDefault="00B27937" w:rsidP="00743D9E">
      <w:pPr>
        <w:jc w:val="both"/>
        <w:outlineLvl w:val="0"/>
        <w:rPr>
          <w:rFonts w:ascii="Arial" w:hAnsi="Arial" w:cs="Arial"/>
          <w:sz w:val="24"/>
          <w:szCs w:val="24"/>
        </w:rPr>
      </w:pPr>
    </w:p>
    <w:sectPr w:rsidR="00B27937" w:rsidRPr="00D35698" w:rsidSect="00A90BAC">
      <w:pgSz w:w="12240" w:h="15840"/>
      <w:pgMar w:top="1152" w:right="1440" w:bottom="6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DF" w:rsidRDefault="007535DF">
      <w:r>
        <w:separator/>
      </w:r>
    </w:p>
  </w:endnote>
  <w:endnote w:type="continuationSeparator" w:id="0">
    <w:p w:rsidR="007535DF" w:rsidRDefault="00753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DF" w:rsidRDefault="007535DF">
      <w:r>
        <w:separator/>
      </w:r>
    </w:p>
  </w:footnote>
  <w:footnote w:type="continuationSeparator" w:id="0">
    <w:p w:rsidR="007535DF" w:rsidRDefault="00753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C76"/>
    <w:multiLevelType w:val="hybridMultilevel"/>
    <w:tmpl w:val="F89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5006"/>
    <w:multiLevelType w:val="hybridMultilevel"/>
    <w:tmpl w:val="8272C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4F4F"/>
    <w:multiLevelType w:val="hybridMultilevel"/>
    <w:tmpl w:val="A51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624F6"/>
    <w:multiLevelType w:val="hybridMultilevel"/>
    <w:tmpl w:val="49B88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D537CC"/>
    <w:multiLevelType w:val="hybridMultilevel"/>
    <w:tmpl w:val="8D2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F7376"/>
    <w:multiLevelType w:val="hybridMultilevel"/>
    <w:tmpl w:val="64EA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74FD3"/>
    <w:multiLevelType w:val="hybridMultilevel"/>
    <w:tmpl w:val="EA0A4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15FC"/>
    <w:rsid w:val="00020A28"/>
    <w:rsid w:val="000223C5"/>
    <w:rsid w:val="00051B2F"/>
    <w:rsid w:val="00075E4B"/>
    <w:rsid w:val="00076671"/>
    <w:rsid w:val="00087892"/>
    <w:rsid w:val="000D30B7"/>
    <w:rsid w:val="0010577B"/>
    <w:rsid w:val="00137DEB"/>
    <w:rsid w:val="00151E0E"/>
    <w:rsid w:val="00162DD4"/>
    <w:rsid w:val="00184CB5"/>
    <w:rsid w:val="001B0D29"/>
    <w:rsid w:val="001D3FB3"/>
    <w:rsid w:val="001E3C98"/>
    <w:rsid w:val="001E6019"/>
    <w:rsid w:val="001F526E"/>
    <w:rsid w:val="00203222"/>
    <w:rsid w:val="00232A3A"/>
    <w:rsid w:val="00241A58"/>
    <w:rsid w:val="00242FFF"/>
    <w:rsid w:val="0024399E"/>
    <w:rsid w:val="002541D7"/>
    <w:rsid w:val="00277D9F"/>
    <w:rsid w:val="002800B1"/>
    <w:rsid w:val="002B73E2"/>
    <w:rsid w:val="002F17D5"/>
    <w:rsid w:val="002F71B9"/>
    <w:rsid w:val="00304B4A"/>
    <w:rsid w:val="0031102E"/>
    <w:rsid w:val="00331D94"/>
    <w:rsid w:val="003374E4"/>
    <w:rsid w:val="003477F5"/>
    <w:rsid w:val="00361219"/>
    <w:rsid w:val="00363704"/>
    <w:rsid w:val="00374DDE"/>
    <w:rsid w:val="0037626A"/>
    <w:rsid w:val="003A3B2D"/>
    <w:rsid w:val="003A736D"/>
    <w:rsid w:val="003C039D"/>
    <w:rsid w:val="004312D9"/>
    <w:rsid w:val="00431815"/>
    <w:rsid w:val="00440BAC"/>
    <w:rsid w:val="00482613"/>
    <w:rsid w:val="004A2AE3"/>
    <w:rsid w:val="004B69E3"/>
    <w:rsid w:val="00506C72"/>
    <w:rsid w:val="00511CDF"/>
    <w:rsid w:val="005431E5"/>
    <w:rsid w:val="00597F52"/>
    <w:rsid w:val="005A0C59"/>
    <w:rsid w:val="005A7E76"/>
    <w:rsid w:val="005B3A0F"/>
    <w:rsid w:val="005B6E63"/>
    <w:rsid w:val="005D0024"/>
    <w:rsid w:val="005E0489"/>
    <w:rsid w:val="005F5307"/>
    <w:rsid w:val="00630023"/>
    <w:rsid w:val="00654BE4"/>
    <w:rsid w:val="006874C8"/>
    <w:rsid w:val="006B245F"/>
    <w:rsid w:val="006C3A87"/>
    <w:rsid w:val="006D3B35"/>
    <w:rsid w:val="007057F4"/>
    <w:rsid w:val="00706B51"/>
    <w:rsid w:val="00716006"/>
    <w:rsid w:val="00743D9E"/>
    <w:rsid w:val="007535DF"/>
    <w:rsid w:val="0075589D"/>
    <w:rsid w:val="00790510"/>
    <w:rsid w:val="007A421B"/>
    <w:rsid w:val="007F101A"/>
    <w:rsid w:val="007F74A0"/>
    <w:rsid w:val="00801F55"/>
    <w:rsid w:val="00842C03"/>
    <w:rsid w:val="008432A4"/>
    <w:rsid w:val="00882FC7"/>
    <w:rsid w:val="00887633"/>
    <w:rsid w:val="008C1A96"/>
    <w:rsid w:val="008E3951"/>
    <w:rsid w:val="00931D4E"/>
    <w:rsid w:val="0094345F"/>
    <w:rsid w:val="00957063"/>
    <w:rsid w:val="0096595F"/>
    <w:rsid w:val="00973BEB"/>
    <w:rsid w:val="00991032"/>
    <w:rsid w:val="009B68E1"/>
    <w:rsid w:val="009C6359"/>
    <w:rsid w:val="009E506A"/>
    <w:rsid w:val="009E7466"/>
    <w:rsid w:val="009F5F2D"/>
    <w:rsid w:val="009F6B44"/>
    <w:rsid w:val="00A47C81"/>
    <w:rsid w:val="00A61B8A"/>
    <w:rsid w:val="00A63E22"/>
    <w:rsid w:val="00A71DC4"/>
    <w:rsid w:val="00A90BAC"/>
    <w:rsid w:val="00A926C3"/>
    <w:rsid w:val="00AB6D59"/>
    <w:rsid w:val="00AE0487"/>
    <w:rsid w:val="00AE4D2D"/>
    <w:rsid w:val="00B067A5"/>
    <w:rsid w:val="00B25176"/>
    <w:rsid w:val="00B27937"/>
    <w:rsid w:val="00B323E0"/>
    <w:rsid w:val="00B35213"/>
    <w:rsid w:val="00B415FC"/>
    <w:rsid w:val="00B53AE6"/>
    <w:rsid w:val="00B5501A"/>
    <w:rsid w:val="00B6711A"/>
    <w:rsid w:val="00B759D9"/>
    <w:rsid w:val="00B83BE4"/>
    <w:rsid w:val="00B85809"/>
    <w:rsid w:val="00BE6F8F"/>
    <w:rsid w:val="00C3634A"/>
    <w:rsid w:val="00C750CD"/>
    <w:rsid w:val="00C87B14"/>
    <w:rsid w:val="00C9152B"/>
    <w:rsid w:val="00C94A34"/>
    <w:rsid w:val="00CB7E34"/>
    <w:rsid w:val="00CC7BDE"/>
    <w:rsid w:val="00CD05CC"/>
    <w:rsid w:val="00CD4ECA"/>
    <w:rsid w:val="00CE2640"/>
    <w:rsid w:val="00CE52C3"/>
    <w:rsid w:val="00D005D1"/>
    <w:rsid w:val="00D05149"/>
    <w:rsid w:val="00D35698"/>
    <w:rsid w:val="00D432A4"/>
    <w:rsid w:val="00D57F0B"/>
    <w:rsid w:val="00D741D2"/>
    <w:rsid w:val="00D767F1"/>
    <w:rsid w:val="00DE5C53"/>
    <w:rsid w:val="00E16D43"/>
    <w:rsid w:val="00E22E84"/>
    <w:rsid w:val="00E34403"/>
    <w:rsid w:val="00E46026"/>
    <w:rsid w:val="00E66AE5"/>
    <w:rsid w:val="00E72A7E"/>
    <w:rsid w:val="00E776EF"/>
    <w:rsid w:val="00E97CE5"/>
    <w:rsid w:val="00EE0D91"/>
    <w:rsid w:val="00EE435C"/>
    <w:rsid w:val="00F416AE"/>
    <w:rsid w:val="00F50522"/>
    <w:rsid w:val="00F63BA6"/>
    <w:rsid w:val="00F64578"/>
    <w:rsid w:val="00F92C84"/>
    <w:rsid w:val="00FC17F9"/>
    <w:rsid w:val="00FD1F82"/>
    <w:rsid w:val="00FD5E56"/>
    <w:rsid w:val="00FF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671"/>
    <w:pPr>
      <w:jc w:val="both"/>
    </w:pPr>
    <w:rPr>
      <w:sz w:val="22"/>
    </w:rPr>
  </w:style>
  <w:style w:type="paragraph" w:styleId="Header">
    <w:name w:val="header"/>
    <w:basedOn w:val="Normal"/>
    <w:rsid w:val="00076671"/>
    <w:pPr>
      <w:tabs>
        <w:tab w:val="center" w:pos="4320"/>
        <w:tab w:val="right" w:pos="8640"/>
      </w:tabs>
    </w:pPr>
  </w:style>
  <w:style w:type="paragraph" w:styleId="Footer">
    <w:name w:val="footer"/>
    <w:basedOn w:val="Normal"/>
    <w:link w:val="FooterChar"/>
    <w:uiPriority w:val="99"/>
    <w:rsid w:val="00076671"/>
    <w:pPr>
      <w:tabs>
        <w:tab w:val="center" w:pos="4320"/>
        <w:tab w:val="right" w:pos="8640"/>
      </w:tabs>
    </w:pPr>
  </w:style>
  <w:style w:type="paragraph" w:styleId="DocumentMap">
    <w:name w:val="Document Map"/>
    <w:basedOn w:val="Normal"/>
    <w:semiHidden/>
    <w:rsid w:val="00076671"/>
    <w:pPr>
      <w:shd w:val="clear" w:color="auto" w:fill="000080"/>
    </w:pPr>
    <w:rPr>
      <w:rFonts w:ascii="Tahoma" w:hAnsi="Tahoma"/>
    </w:rPr>
  </w:style>
  <w:style w:type="paragraph" w:styleId="BalloonText">
    <w:name w:val="Balloon Text"/>
    <w:basedOn w:val="Normal"/>
    <w:semiHidden/>
    <w:rsid w:val="00E66AE5"/>
    <w:rPr>
      <w:rFonts w:ascii="Tahoma" w:hAnsi="Tahoma" w:cs="Tahoma"/>
      <w:sz w:val="16"/>
      <w:szCs w:val="16"/>
    </w:rPr>
  </w:style>
  <w:style w:type="character" w:styleId="Hyperlink">
    <w:name w:val="Hyperlink"/>
    <w:basedOn w:val="DefaultParagraphFont"/>
    <w:rsid w:val="005B3A0F"/>
    <w:rPr>
      <w:color w:val="0000FF"/>
      <w:u w:val="single"/>
    </w:rPr>
  </w:style>
  <w:style w:type="paragraph" w:styleId="NormalWeb">
    <w:name w:val="Normal (Web)"/>
    <w:basedOn w:val="Normal"/>
    <w:rsid w:val="0037626A"/>
    <w:pPr>
      <w:spacing w:before="100" w:beforeAutospacing="1" w:after="100" w:afterAutospacing="1"/>
    </w:pPr>
    <w:rPr>
      <w:color w:val="000000"/>
      <w:sz w:val="24"/>
      <w:szCs w:val="24"/>
      <w:lang w:bidi="he-IL"/>
    </w:rPr>
  </w:style>
  <w:style w:type="character" w:styleId="Emphasis">
    <w:name w:val="Emphasis"/>
    <w:basedOn w:val="DefaultParagraphFont"/>
    <w:uiPriority w:val="20"/>
    <w:qFormat/>
    <w:rsid w:val="0037626A"/>
    <w:rPr>
      <w:i/>
      <w:iCs/>
    </w:rPr>
  </w:style>
  <w:style w:type="character" w:customStyle="1" w:styleId="FooterChar">
    <w:name w:val="Footer Char"/>
    <w:basedOn w:val="DefaultParagraphFont"/>
    <w:link w:val="Footer"/>
    <w:uiPriority w:val="99"/>
    <w:rsid w:val="00482613"/>
  </w:style>
  <w:style w:type="character" w:styleId="FollowedHyperlink">
    <w:name w:val="FollowedHyperlink"/>
    <w:basedOn w:val="DefaultParagraphFont"/>
    <w:rsid w:val="00331D94"/>
    <w:rPr>
      <w:color w:val="800080"/>
      <w:u w:val="single"/>
    </w:rPr>
  </w:style>
  <w:style w:type="paragraph" w:styleId="NoSpacing">
    <w:name w:val="No Spacing"/>
    <w:uiPriority w:val="1"/>
    <w:qFormat/>
    <w:rsid w:val="00C87B1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7055353">
      <w:bodyDiv w:val="1"/>
      <w:marLeft w:val="0"/>
      <w:marRight w:val="0"/>
      <w:marTop w:val="0"/>
      <w:marBottom w:val="0"/>
      <w:divBdr>
        <w:top w:val="none" w:sz="0" w:space="0" w:color="auto"/>
        <w:left w:val="none" w:sz="0" w:space="0" w:color="auto"/>
        <w:bottom w:val="none" w:sz="0" w:space="0" w:color="auto"/>
        <w:right w:val="none" w:sz="0" w:space="0" w:color="auto"/>
      </w:divBdr>
      <w:divsChild>
        <w:div w:id="1709915645">
          <w:marLeft w:val="0"/>
          <w:marRight w:val="0"/>
          <w:marTop w:val="0"/>
          <w:marBottom w:val="0"/>
          <w:divBdr>
            <w:top w:val="none" w:sz="0" w:space="0" w:color="auto"/>
            <w:left w:val="none" w:sz="0" w:space="0" w:color="auto"/>
            <w:bottom w:val="none" w:sz="0" w:space="0" w:color="auto"/>
            <w:right w:val="none" w:sz="0" w:space="0" w:color="auto"/>
          </w:divBdr>
          <w:divsChild>
            <w:div w:id="349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2868436">
          <w:marLeft w:val="0"/>
          <w:marRight w:val="0"/>
          <w:marTop w:val="0"/>
          <w:marBottom w:val="102"/>
          <w:divBdr>
            <w:top w:val="single" w:sz="4" w:space="0" w:color="CCCCCC"/>
            <w:left w:val="single" w:sz="4" w:space="0" w:color="CCCCCC"/>
            <w:bottom w:val="single" w:sz="4" w:space="0" w:color="CCCCCC"/>
            <w:right w:val="single" w:sz="4" w:space="0" w:color="CCCCCC"/>
          </w:divBdr>
          <w:divsChild>
            <w:div w:id="1153913998">
              <w:marLeft w:val="0"/>
              <w:marRight w:val="0"/>
              <w:marTop w:val="51"/>
              <w:marBottom w:val="51"/>
              <w:divBdr>
                <w:top w:val="none" w:sz="0" w:space="0" w:color="auto"/>
                <w:left w:val="none" w:sz="0" w:space="0" w:color="auto"/>
                <w:bottom w:val="none" w:sz="0" w:space="0" w:color="auto"/>
                <w:right w:val="none" w:sz="0" w:space="0" w:color="auto"/>
              </w:divBdr>
              <w:divsChild>
                <w:div w:id="455829606">
                  <w:marLeft w:val="51"/>
                  <w:marRight w:val="51"/>
                  <w:marTop w:val="102"/>
                  <w:marBottom w:val="0"/>
                  <w:divBdr>
                    <w:top w:val="none" w:sz="0" w:space="0" w:color="auto"/>
                    <w:left w:val="none" w:sz="0" w:space="0" w:color="auto"/>
                    <w:bottom w:val="single" w:sz="4" w:space="0" w:color="CCCCCC"/>
                    <w:right w:val="none" w:sz="0" w:space="0" w:color="auto"/>
                  </w:divBdr>
                  <w:divsChild>
                    <w:div w:id="1854879084">
                      <w:marLeft w:val="0"/>
                      <w:marRight w:val="0"/>
                      <w:marTop w:val="0"/>
                      <w:marBottom w:val="153"/>
                      <w:divBdr>
                        <w:top w:val="none" w:sz="0" w:space="0" w:color="auto"/>
                        <w:left w:val="none" w:sz="0" w:space="0" w:color="auto"/>
                        <w:bottom w:val="none" w:sz="0" w:space="0" w:color="auto"/>
                        <w:right w:val="none" w:sz="0" w:space="0" w:color="auto"/>
                      </w:divBdr>
                      <w:divsChild>
                        <w:div w:id="1348561917">
                          <w:marLeft w:val="1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y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29, 1997</vt:lpstr>
    </vt:vector>
  </TitlesOfParts>
  <Company>David Kupferman, CPA</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1997</dc:title>
  <dc:subject/>
  <dc:creator>David Kupferman, CPA</dc:creator>
  <cp:keywords/>
  <dc:description/>
  <cp:lastModifiedBy>David Kupferman, CPA</cp:lastModifiedBy>
  <cp:revision>3</cp:revision>
  <cp:lastPrinted>2005-06-22T00:56:00Z</cp:lastPrinted>
  <dcterms:created xsi:type="dcterms:W3CDTF">2009-07-02T00:38:00Z</dcterms:created>
  <dcterms:modified xsi:type="dcterms:W3CDTF">2009-07-02T00:56:00Z</dcterms:modified>
</cp:coreProperties>
</file>